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EC" w:rsidRDefault="00064128">
      <w:pPr>
        <w:spacing w:line="81" w:lineRule="exact"/>
        <w:ind w:left="792"/>
        <w:rPr>
          <w:rFonts w:ascii="Tahoma" w:hAnsi="Tahoma"/>
          <w:color w:val="0D0D0D"/>
          <w:sz w:val="10"/>
        </w:rPr>
      </w:pPr>
      <w:proofErr w:type="gramStart"/>
      <w:r>
        <w:rPr>
          <w:rFonts w:ascii="Tahoma" w:hAnsi="Tahoma"/>
          <w:color w:val="0D0D0D"/>
          <w:sz w:val="10"/>
        </w:rPr>
        <w:t>a</w:t>
      </w:r>
      <w:proofErr w:type="gramEnd"/>
      <w:r>
        <w:rPr>
          <w:rFonts w:ascii="Tahoma" w:hAnsi="Tahoma"/>
          <w:color w:val="0D0D0D"/>
          <w:sz w:val="10"/>
        </w:rPr>
        <w:t>.</w:t>
      </w:r>
    </w:p>
    <w:p w:rsidR="004A2FEC" w:rsidRDefault="00064128">
      <w:pPr>
        <w:spacing w:after="144" w:line="216" w:lineRule="auto"/>
        <w:jc w:val="center"/>
        <w:rPr>
          <w:rFonts w:ascii="Times New Roman" w:hAnsi="Times New Roman"/>
          <w:b/>
          <w:color w:val="0D0D0D"/>
          <w:sz w:val="21"/>
        </w:rPr>
      </w:pPr>
      <w:r>
        <w:rPr>
          <w:rFonts w:ascii="Times New Roman" w:hAnsi="Times New Roman"/>
          <w:b/>
          <w:color w:val="0D0D0D"/>
          <w:sz w:val="21"/>
        </w:rPr>
        <w:t>STP UNITS FOR SBR PROCESS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28"/>
      </w:tblGrid>
      <w:tr w:rsidR="004A2F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1"/>
              </w:rPr>
              <w:t>Headworks</w:t>
            </w:r>
            <w:proofErr w:type="spellEnd"/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Medium Screen Influent Channel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Medium Screen Channels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80"/>
                <w:sz w:val="21"/>
              </w:rPr>
            </w:pPr>
            <w:r w:rsidRPr="00D1544E">
              <w:rPr>
                <w:rFonts w:ascii="Times New Roman" w:hAnsi="Times New Roman"/>
                <w:color w:val="0D0D0D"/>
                <w:spacing w:val="2"/>
                <w:sz w:val="21"/>
              </w:rPr>
              <w:t>Medium Screen Effluent/Grit Basin Distribution Channel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Grit Basin Distribution Channel - Branch Boxes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Grit Basins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proofErr w:type="spellStart"/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Parshall</w:t>
            </w:r>
            <w:proofErr w:type="spellEnd"/>
            <w:r>
              <w:rPr>
                <w:rFonts w:ascii="Times New Roman" w:hAnsi="Times New Roman"/>
                <w:color w:val="0D0D0D"/>
                <w:spacing w:val="2"/>
                <w:sz w:val="21"/>
              </w:rPr>
              <w:t xml:space="preserve"> Flume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b/>
                <w:color w:val="0D0D0D"/>
                <w:spacing w:val="-2"/>
                <w:w w:val="105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pacing w:val="-2"/>
                <w:w w:val="105"/>
                <w:sz w:val="21"/>
              </w:rPr>
              <w:t>Aeration / SBR Basins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Aeration Basin Influent Channel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Aeration / SBR Basins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Process Air Blower Building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Chemical Building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Chemical Building (Lower Level)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Chemical Building (Upper Level)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Secondary Scum Pit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Pr="00D1544E" w:rsidRDefault="00064128">
            <w:pPr>
              <w:ind w:left="61"/>
              <w:rPr>
                <w:rFonts w:ascii="Times New Roman" w:hAnsi="Times New Roman"/>
                <w:b/>
                <w:color w:val="0D0D0D"/>
                <w:spacing w:val="2"/>
                <w:sz w:val="21"/>
              </w:rPr>
            </w:pPr>
            <w:r w:rsidRPr="00D1544E">
              <w:rPr>
                <w:rFonts w:ascii="Times New Roman" w:hAnsi="Times New Roman"/>
                <w:b/>
                <w:color w:val="0D0D0D"/>
                <w:spacing w:val="2"/>
                <w:sz w:val="21"/>
              </w:rPr>
              <w:t>Chlorine Contact Tank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Pr="00D1544E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 w:rsidRPr="00D1544E">
              <w:rPr>
                <w:rFonts w:ascii="Times New Roman" w:hAnsi="Times New Roman"/>
                <w:color w:val="0D0D0D"/>
                <w:spacing w:val="2"/>
                <w:sz w:val="21"/>
              </w:rPr>
              <w:t>Chlorine Contact Tank Inlet Channel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Chlorine Contact Tanks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Chlorine Contact Tank Effluent Channel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Chlorine/ Hypo Building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Chlorine Scrubber area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b/>
                <w:color w:val="0D0D0D"/>
                <w:spacing w:val="-2"/>
                <w:w w:val="105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pacing w:val="-2"/>
                <w:w w:val="105"/>
                <w:sz w:val="21"/>
              </w:rPr>
              <w:t>Sludge Thickening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Gravity Thickener Inlet Distribution Structure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Gravity Sludge Thickener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Thickened Sludge Pumping Station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Sludge/Biogas Storage Tank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b/>
                <w:color w:val="0D0D0D"/>
                <w:spacing w:val="-2"/>
                <w:w w:val="105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pacing w:val="-2"/>
                <w:w w:val="105"/>
                <w:sz w:val="21"/>
              </w:rPr>
              <w:t>Sludge Dewatering System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Centrifuge Feed Pumping Station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Centrifuge Building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1"/>
                <w:sz w:val="21"/>
              </w:rPr>
            </w:pPr>
            <w:r>
              <w:rPr>
                <w:rFonts w:ascii="Times New Roman" w:hAnsi="Times New Roman"/>
                <w:color w:val="0D0D0D"/>
                <w:spacing w:val="1"/>
                <w:sz w:val="21"/>
              </w:rPr>
              <w:t>Centrifuge Building (Lower Level)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Centrifuge Building (Upper Level)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b/>
                <w:color w:val="0D0D0D"/>
                <w:spacing w:val="-2"/>
                <w:w w:val="105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pacing w:val="-2"/>
                <w:w w:val="105"/>
                <w:sz w:val="21"/>
              </w:rPr>
              <w:t>Plant Drain Pump Station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b/>
                <w:color w:val="0D0D0D"/>
                <w:spacing w:val="-2"/>
                <w:w w:val="105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pacing w:val="-2"/>
                <w:w w:val="105"/>
                <w:sz w:val="21"/>
              </w:rPr>
              <w:t>Sub-Station for STP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Switch Gear Room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Transformer Yard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Transformer Yard near Process Air Blower Building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D G Room for TSPS and STP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b/>
                <w:color w:val="0D0D0D"/>
                <w:spacing w:val="-2"/>
                <w:w w:val="105"/>
                <w:sz w:val="21"/>
              </w:rPr>
            </w:pPr>
            <w:r>
              <w:rPr>
                <w:rFonts w:ascii="Times New Roman" w:hAnsi="Times New Roman"/>
                <w:b/>
                <w:color w:val="0D0D0D"/>
                <w:spacing w:val="-2"/>
                <w:w w:val="105"/>
                <w:sz w:val="21"/>
              </w:rPr>
              <w:t>Utility Buildings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Administration, Laboratory, and SCADA Building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pacing w:val="2"/>
                <w:sz w:val="21"/>
              </w:rPr>
            </w:pPr>
            <w:r>
              <w:rPr>
                <w:rFonts w:ascii="Times New Roman" w:hAnsi="Times New Roman"/>
                <w:color w:val="0D0D0D"/>
                <w:spacing w:val="2"/>
                <w:sz w:val="21"/>
              </w:rPr>
              <w:t>Maintenance Workshop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Guard Room (Security Room)</w:t>
            </w:r>
          </w:p>
        </w:tc>
      </w:tr>
      <w:tr w:rsidR="004A2F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FEC" w:rsidRDefault="00064128">
            <w:pPr>
              <w:ind w:left="61"/>
              <w:rPr>
                <w:rFonts w:ascii="Times New Roman" w:hAnsi="Times New Roman"/>
                <w:color w:val="0D0D0D"/>
                <w:sz w:val="21"/>
              </w:rPr>
            </w:pPr>
            <w:r>
              <w:rPr>
                <w:rFonts w:ascii="Times New Roman" w:hAnsi="Times New Roman"/>
                <w:color w:val="0D0D0D"/>
                <w:sz w:val="21"/>
              </w:rPr>
              <w:t>Plant Water Pump Station</w:t>
            </w:r>
          </w:p>
        </w:tc>
      </w:tr>
    </w:tbl>
    <w:p w:rsidR="00064128" w:rsidRDefault="00064128"/>
    <w:sectPr w:rsidR="00064128" w:rsidSect="004A2FEC">
      <w:pgSz w:w="11918" w:h="16854"/>
      <w:pgMar w:top="1300" w:right="272" w:bottom="2284" w:left="3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A2FEC"/>
    <w:rsid w:val="00064128"/>
    <w:rsid w:val="004A2FEC"/>
    <w:rsid w:val="00AB500B"/>
    <w:rsid w:val="00D1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</dc:creator>
  <cp:lastModifiedBy>User</cp:lastModifiedBy>
  <cp:revision>2</cp:revision>
  <dcterms:created xsi:type="dcterms:W3CDTF">2017-10-12T05:21:00Z</dcterms:created>
  <dcterms:modified xsi:type="dcterms:W3CDTF">2017-10-12T05:21:00Z</dcterms:modified>
</cp:coreProperties>
</file>